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83649" w14:textId="77777777" w:rsidR="00155BE3" w:rsidRDefault="00155BE3" w:rsidP="00155BE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5C175D0B" w14:textId="77777777" w:rsidR="00155BE3" w:rsidRDefault="00155BE3" w:rsidP="00155BE3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S : Strategic Risk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B62DF2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“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  <w:cs/>
        </w:rPr>
        <w:t xml:space="preserve">คุณลักษณะด้าน 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</w:rPr>
        <w:t xml:space="preserve">Soft Skill 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  <w:cs/>
        </w:rPr>
        <w:t>ของนักศึกษายังไม่เพียงพอต่อความต้องการของตลาดจ้างงาน</w:t>
      </w:r>
      <w:r w:rsidRPr="00B62DF2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”</w:t>
      </w:r>
    </w:p>
    <w:p w14:paraId="075956A0" w14:textId="77777777" w:rsidR="00155BE3" w:rsidRPr="00704EE0" w:rsidRDefault="00155BE3" w:rsidP="00155BE3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5B783B">
        <w:rPr>
          <w:rFonts w:ascii="TH SarabunPSK" w:hAnsi="TH SarabunPSK" w:cs="TH SarabunPSK"/>
          <w:color w:val="590000"/>
          <w:sz w:val="32"/>
          <w:szCs w:val="32"/>
        </w:rPr>
        <w:t>(</w:t>
      </w:r>
      <w:proofErr w:type="gramStart"/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ผู้รับผิดชอบ :</w:t>
      </w:r>
      <w:proofErr w:type="gramEnd"/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 xml:space="preserve"> ฝ่าย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วิชาการและประกันคุณภาพ (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สสว. / ศบก.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)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 xml:space="preserve"> /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ฝ่ายพัฒนานักศึกษาและศิษย์เก่าสัมพันธ์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color w:val="590000"/>
          <w:sz w:val="32"/>
          <w:szCs w:val="32"/>
          <w:cs/>
        </w:rPr>
        <w:t>สกน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.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) / ฝ่ายยุทธศาสตร์และงบประมาณ (สผ.)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573"/>
        <w:gridCol w:w="953"/>
        <w:gridCol w:w="566"/>
        <w:gridCol w:w="531"/>
        <w:gridCol w:w="567"/>
        <w:gridCol w:w="599"/>
        <w:gridCol w:w="566"/>
        <w:gridCol w:w="525"/>
        <w:gridCol w:w="681"/>
        <w:gridCol w:w="486"/>
        <w:gridCol w:w="2816"/>
        <w:gridCol w:w="1309"/>
        <w:gridCol w:w="684"/>
        <w:gridCol w:w="690"/>
        <w:gridCol w:w="680"/>
        <w:gridCol w:w="680"/>
      </w:tblGrid>
      <w:tr w:rsidR="00155BE3" w:rsidRPr="008F6400" w14:paraId="75A2ECA4" w14:textId="77777777" w:rsidTr="00842F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5CF39F" w14:textId="77777777" w:rsidR="00155BE3" w:rsidRPr="008F6400" w:rsidRDefault="00155BE3" w:rsidP="00842F8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259CE7" wp14:editId="220129D4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6B267" id="Rectangle 277" o:spid="_x0000_s1026" style="position:absolute;margin-left:650.85pt;margin-top:472.7pt;width:83.8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FAD6C7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0E7D17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5E1AB4D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75A1E9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D12190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6017AD0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D14DD0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155BE3" w:rsidRPr="008F6400" w14:paraId="08E0800B" w14:textId="77777777" w:rsidTr="00842F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45BE" w14:textId="77777777" w:rsidR="00155BE3" w:rsidRPr="008F6400" w:rsidRDefault="00155BE3" w:rsidP="00842F8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4EBC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E5E4B6D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80793A" w14:textId="77777777" w:rsidR="00155BE3" w:rsidRPr="00C30B4B" w:rsidRDefault="00155BE3" w:rsidP="00842F8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5B77DD1" w14:textId="77777777" w:rsidR="00155BE3" w:rsidRPr="00C30B4B" w:rsidRDefault="00155BE3" w:rsidP="00842F8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6262EF" w14:textId="77777777" w:rsidR="00155BE3" w:rsidRPr="00C30B4B" w:rsidRDefault="00155BE3" w:rsidP="00842F8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7A6AE1" w14:textId="77777777" w:rsidR="00155BE3" w:rsidRPr="00C30B4B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2FD8C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5CC76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43A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21E0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55BE3" w:rsidRPr="008F6400" w14:paraId="4C6E36D8" w14:textId="77777777" w:rsidTr="00842F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EE9A" w14:textId="77777777" w:rsidR="00155BE3" w:rsidRPr="008F6400" w:rsidRDefault="00155BE3" w:rsidP="00842F8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6429" w14:textId="77777777" w:rsidR="00155BE3" w:rsidRPr="008F6400" w:rsidRDefault="00155BE3" w:rsidP="00842F80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470B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EF5C25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3AEC78B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329D9A5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78F409E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ED7A6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93DB96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E5BF2FF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85CA85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73EC3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F8EC9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45ADF4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42F4A13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5398BFA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BBBBDD3" w14:textId="77777777" w:rsidR="00155BE3" w:rsidRPr="008F6400" w:rsidRDefault="00155BE3" w:rsidP="00842F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155BE3" w:rsidRPr="008F6400" w14:paraId="382D5DA3" w14:textId="77777777" w:rsidTr="00842F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tcBorders>
              <w:top w:val="single" w:sz="4" w:space="0" w:color="auto"/>
            </w:tcBorders>
          </w:tcPr>
          <w:p w14:paraId="3B3AEB97" w14:textId="46D4D258" w:rsidR="00155BE3" w:rsidRPr="008F6400" w:rsidRDefault="00155BE3" w:rsidP="00155BE3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0D4D9CDA" w14:textId="3C506FE8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45911" w:themeColor="accent2" w:themeShade="BF"/>
                <w:sz w:val="28"/>
              </w:rPr>
            </w:pPr>
            <w:r w:rsidRPr="00B62DF2">
              <w:rPr>
                <w:rFonts w:ascii="TH SarabunPSK" w:hAnsi="TH SarabunPSK" w:cs="TH SarabunPSK" w:hint="cs"/>
                <w:sz w:val="28"/>
                <w:cs/>
              </w:rPr>
              <w:t>ร้อยละของจำนวนหลักสูตรระดับปริญญาตรีที่มีกิจกรรมเสริมสร้างการพัฒนาทักษะและสมรรถนะของนักศึกษาให้ทันการเปลี่ยนแปลงในยุคปัจจุบัน</w:t>
            </w:r>
            <w:r w:rsidRPr="008804FF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(ผู้รับผิดชอบ : ฝ่ายวิชาการและประกันคุณภาพ)</w:t>
            </w:r>
          </w:p>
        </w:tc>
        <w:tc>
          <w:tcPr>
            <w:tcW w:w="953" w:type="dxa"/>
            <w:tcBorders>
              <w:top w:val="single" w:sz="4" w:space="0" w:color="auto"/>
            </w:tcBorders>
          </w:tcPr>
          <w:p w14:paraId="75871CBA" w14:textId="176B2C49" w:rsidR="00155BE3" w:rsidRPr="008F6400" w:rsidRDefault="00155BE3" w:rsidP="00155BE3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5B65FAFD" w14:textId="4E8829AF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20</w:t>
            </w:r>
          </w:p>
        </w:tc>
        <w:tc>
          <w:tcPr>
            <w:tcW w:w="531" w:type="dxa"/>
            <w:tcBorders>
              <w:top w:val="single" w:sz="4" w:space="0" w:color="auto"/>
            </w:tcBorders>
          </w:tcPr>
          <w:p w14:paraId="725A99A5" w14:textId="0BA4084E" w:rsidR="00155BE3" w:rsidRPr="00C30B4B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C531B3" w14:textId="46134BC1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50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0106316" w14:textId="646E9E54" w:rsidR="00155BE3" w:rsidRPr="00C30B4B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FB632A2" w14:textId="253287CC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80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BC1636B" w14:textId="234D9DB3" w:rsidR="00155BE3" w:rsidRPr="00C30B4B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68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3A7B2CB" w14:textId="77777777" w:rsidR="00155BE3" w:rsidRPr="00C30B4B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100</w:t>
            </w:r>
          </w:p>
          <w:p w14:paraId="4A933EA3" w14:textId="77777777" w:rsidR="00155BE3" w:rsidRPr="00C30B4B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D6C5DD" w14:textId="532248BC" w:rsidR="00155BE3" w:rsidRPr="00C30B4B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16" w:type="dxa"/>
            <w:tcBorders>
              <w:top w:val="single" w:sz="4" w:space="0" w:color="auto"/>
            </w:tcBorders>
          </w:tcPr>
          <w:p w14:paraId="0371702D" w14:textId="77777777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31E92D5D" w14:textId="77777777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597E1968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</w:tcBorders>
          </w:tcPr>
          <w:p w14:paraId="55A195B4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4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</w:tcBorders>
          </w:tcPr>
          <w:p w14:paraId="32F8FBF3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14:paraId="14E65FCA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14:paraId="64F578EF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C00000"/>
                <w:sz w:val="28"/>
                <w:cs/>
              </w:rPr>
              <w:t>......</w:t>
            </w:r>
          </w:p>
        </w:tc>
      </w:tr>
      <w:tr w:rsidR="00155BE3" w:rsidRPr="008F6400" w14:paraId="24671867" w14:textId="77777777" w:rsidTr="00842F80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7F77A988" w14:textId="63C43460" w:rsidR="00155BE3" w:rsidRPr="008F6400" w:rsidRDefault="00155BE3" w:rsidP="00155BE3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7D9BF929" w14:textId="77777777" w:rsidR="00155BE3" w:rsidRPr="00B62DF2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B62DF2">
              <w:rPr>
                <w:rFonts w:ascii="TH SarabunPSK" w:hAnsi="TH SarabunPSK" w:cs="TH SarabunPSK"/>
                <w:sz w:val="28"/>
                <w:cs/>
              </w:rPr>
              <w:t xml:space="preserve">ร้อยละของจำนวนหลักสูตรระดับปริญญาตรีที่มีรายวิชาอย่างน้อยร้อยละ 20 ที่ปรับรูปแบบการสอนเป็น </w:t>
            </w:r>
            <w:r w:rsidRPr="00B62DF2">
              <w:rPr>
                <w:rFonts w:ascii="TH SarabunPSK" w:hAnsi="TH SarabunPSK" w:cs="TH SarabunPSK"/>
                <w:sz w:val="28"/>
              </w:rPr>
              <w:t xml:space="preserve">Active Learning </w:t>
            </w:r>
            <w:r w:rsidRPr="00B62DF2">
              <w:rPr>
                <w:rFonts w:ascii="TH SarabunPSK" w:hAnsi="TH SarabunPSK" w:cs="TH SarabunPSK"/>
                <w:sz w:val="28"/>
                <w:cs/>
              </w:rPr>
              <w:t xml:space="preserve">หรือ </w:t>
            </w:r>
            <w:r w:rsidRPr="00B62DF2">
              <w:rPr>
                <w:rFonts w:ascii="TH SarabunPSK" w:hAnsi="TH SarabunPSK" w:cs="TH SarabunPSK"/>
                <w:sz w:val="28"/>
              </w:rPr>
              <w:t>PBL</w:t>
            </w:r>
          </w:p>
          <w:p w14:paraId="6E7FDF1F" w14:textId="63B2A449" w:rsidR="00155BE3" w:rsidRPr="008F6400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B62DF2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ฝ่ายวิชาการและประกันคุณภาพ</w:t>
            </w: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3" w:type="dxa"/>
          </w:tcPr>
          <w:p w14:paraId="3A9FAC23" w14:textId="03E62082" w:rsidR="00155BE3" w:rsidRPr="008F6400" w:rsidRDefault="00155BE3" w:rsidP="00155BE3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</w:tcPr>
          <w:p w14:paraId="1A9B8891" w14:textId="1182E67F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20</w:t>
            </w:r>
          </w:p>
        </w:tc>
        <w:tc>
          <w:tcPr>
            <w:tcW w:w="531" w:type="dxa"/>
          </w:tcPr>
          <w:p w14:paraId="5BD2F1F3" w14:textId="2BE1BC9A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highlight w:val="yellow"/>
                <w:cs/>
              </w:rPr>
              <w:t>.....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698D7DC" w14:textId="297D8794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50</w:t>
            </w:r>
          </w:p>
        </w:tc>
        <w:tc>
          <w:tcPr>
            <w:tcW w:w="599" w:type="dxa"/>
            <w:shd w:val="clear" w:color="auto" w:fill="D9D9D9" w:themeFill="background1" w:themeFillShade="D9"/>
          </w:tcPr>
          <w:p w14:paraId="709DF1EE" w14:textId="1E254F67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76571D96" w14:textId="4CFF9699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80</w:t>
            </w:r>
          </w:p>
        </w:tc>
        <w:tc>
          <w:tcPr>
            <w:tcW w:w="525" w:type="dxa"/>
            <w:shd w:val="clear" w:color="auto" w:fill="D9D9D9" w:themeFill="background1" w:themeFillShade="D9"/>
          </w:tcPr>
          <w:p w14:paraId="0716F384" w14:textId="594FF80A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681" w:type="dxa"/>
            <w:shd w:val="clear" w:color="auto" w:fill="D9D9D9" w:themeFill="background1" w:themeFillShade="D9"/>
          </w:tcPr>
          <w:p w14:paraId="1688B159" w14:textId="45529F43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100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14:paraId="1508651F" w14:textId="6810CF46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2816" w:type="dxa"/>
          </w:tcPr>
          <w:p w14:paraId="7E1C1C2B" w14:textId="77777777" w:rsidR="00155BE3" w:rsidRPr="008F6400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17718985" w14:textId="77777777" w:rsidR="00155BE3" w:rsidRPr="008F6400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09" w:type="dxa"/>
          </w:tcPr>
          <w:p w14:paraId="79B57C5E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84" w:type="dxa"/>
            <w:vMerge/>
          </w:tcPr>
          <w:p w14:paraId="4271262C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90" w:type="dxa"/>
            <w:vMerge/>
          </w:tcPr>
          <w:p w14:paraId="09D241ED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14:paraId="6237CFB4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14:paraId="1228057C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155BE3" w:rsidRPr="008F6400" w14:paraId="2B0E6DE8" w14:textId="77777777" w:rsidTr="00842F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221FDD4B" w14:textId="7DF64BE2" w:rsidR="00155BE3" w:rsidRPr="008F6400" w:rsidRDefault="00155BE3" w:rsidP="00155BE3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1F911992" w14:textId="77777777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B62DF2">
              <w:rPr>
                <w:rFonts w:ascii="TH SarabunPSK" w:hAnsi="TH SarabunPSK" w:cs="TH SarabunPSK"/>
                <w:sz w:val="28"/>
                <w:cs/>
              </w:rPr>
              <w:t xml:space="preserve">ร้อยละจำนวนหลักสูตรระดับปริญญาตรีที่มีการปรับปรุงและเพิ่มเติมเนื้อหาด้าน </w:t>
            </w:r>
            <w:r w:rsidRPr="00B62DF2">
              <w:rPr>
                <w:rFonts w:ascii="TH SarabunPSK" w:hAnsi="TH SarabunPSK" w:cs="TH SarabunPSK"/>
                <w:sz w:val="28"/>
              </w:rPr>
              <w:t xml:space="preserve">AI </w:t>
            </w:r>
            <w:r w:rsidRPr="00B62DF2">
              <w:rPr>
                <w:rFonts w:ascii="TH SarabunPSK" w:hAnsi="TH SarabunPSK" w:cs="TH SarabunPSK"/>
                <w:sz w:val="28"/>
                <w:cs/>
              </w:rPr>
              <w:t>และดิจิทัลในรายวิชา</w:t>
            </w:r>
          </w:p>
          <w:p w14:paraId="381AB82D" w14:textId="1C8EB14F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B62DF2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ฝ่ายวิชาการและประกันคุณภาพ / ส่วนส่งเสริมวิชาการ</w:t>
            </w: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3" w:type="dxa"/>
          </w:tcPr>
          <w:p w14:paraId="7418708F" w14:textId="6F151E24" w:rsidR="00155BE3" w:rsidRPr="008F6400" w:rsidRDefault="00155BE3" w:rsidP="00155BE3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</w:tcPr>
          <w:p w14:paraId="68A31276" w14:textId="5AD84DD6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10</w:t>
            </w:r>
          </w:p>
        </w:tc>
        <w:tc>
          <w:tcPr>
            <w:tcW w:w="531" w:type="dxa"/>
          </w:tcPr>
          <w:p w14:paraId="53082417" w14:textId="217EE634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highlight w:val="yellow"/>
                <w:cs/>
              </w:rPr>
              <w:t>.....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A5D5D6B" w14:textId="136C1B6B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20</w:t>
            </w:r>
          </w:p>
        </w:tc>
        <w:tc>
          <w:tcPr>
            <w:tcW w:w="599" w:type="dxa"/>
            <w:shd w:val="clear" w:color="auto" w:fill="D9D9D9" w:themeFill="background1" w:themeFillShade="D9"/>
          </w:tcPr>
          <w:p w14:paraId="6AD5D49E" w14:textId="6D4B469D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284AB041" w14:textId="7E416CF1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50</w:t>
            </w:r>
          </w:p>
        </w:tc>
        <w:tc>
          <w:tcPr>
            <w:tcW w:w="525" w:type="dxa"/>
            <w:shd w:val="clear" w:color="auto" w:fill="D9D9D9" w:themeFill="background1" w:themeFillShade="D9"/>
          </w:tcPr>
          <w:p w14:paraId="54587505" w14:textId="4A79FB10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681" w:type="dxa"/>
            <w:shd w:val="clear" w:color="auto" w:fill="D9D9D9" w:themeFill="background1" w:themeFillShade="D9"/>
          </w:tcPr>
          <w:p w14:paraId="608E1EA0" w14:textId="0271D393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/>
                <w:color w:val="080886"/>
                <w:sz w:val="28"/>
              </w:rPr>
              <w:t>80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14:paraId="4739C9D9" w14:textId="7E20B6D5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2816" w:type="dxa"/>
          </w:tcPr>
          <w:p w14:paraId="0F016EFD" w14:textId="77777777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450B9BA1" w14:textId="77777777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09" w:type="dxa"/>
          </w:tcPr>
          <w:p w14:paraId="695E4069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84" w:type="dxa"/>
            <w:tcBorders>
              <w:bottom w:val="nil"/>
            </w:tcBorders>
          </w:tcPr>
          <w:p w14:paraId="5FD9DC93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43EFEAD7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14:paraId="6611021C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14:paraId="358ADB5E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155BE3" w:rsidRPr="008F6400" w14:paraId="3932250F" w14:textId="77777777" w:rsidTr="00155BE3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639B1F11" w14:textId="1EB69B9E" w:rsidR="00155BE3" w:rsidRPr="008F6400" w:rsidRDefault="00155BE3" w:rsidP="00155BE3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lastRenderedPageBreak/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734B3553" w14:textId="77777777" w:rsidR="00155BE3" w:rsidRPr="00B62DF2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B62DF2">
              <w:rPr>
                <w:rFonts w:ascii="TH SarabunPSK" w:hAnsi="TH SarabunPSK" w:cs="TH SarabunPSK"/>
                <w:sz w:val="28"/>
                <w:cs/>
              </w:rPr>
              <w:t xml:space="preserve">ร้อยละของจำนวนหลักสูตรระดับปริญญาตรีที่มีอาจารย์ประจำหลักสูตรที่มความสามารถในการจัดการสอนและออกแบบกิจกรรมที่พัฒนาทักษะ </w:t>
            </w:r>
            <w:r w:rsidRPr="00B62DF2">
              <w:rPr>
                <w:rFonts w:ascii="TH SarabunPSK" w:hAnsi="TH SarabunPSK" w:cs="TH SarabunPSK"/>
                <w:sz w:val="28"/>
              </w:rPr>
              <w:t>soft skills</w:t>
            </w:r>
          </w:p>
          <w:p w14:paraId="173AF050" w14:textId="2749AA17" w:rsidR="00155BE3" w:rsidRPr="008F6400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B62DF2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ฝ่ายวิชาการและประกันคุณภาพ / ส่วนส่งเสริมวิชาการ</w:t>
            </w: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3" w:type="dxa"/>
          </w:tcPr>
          <w:p w14:paraId="4B21F61E" w14:textId="67DD9CAB" w:rsidR="00155BE3" w:rsidRPr="008F6400" w:rsidRDefault="00155BE3" w:rsidP="00155BE3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</w:tcPr>
          <w:p w14:paraId="70EBBA8E" w14:textId="3E60BC9B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20</w:t>
            </w:r>
          </w:p>
        </w:tc>
        <w:tc>
          <w:tcPr>
            <w:tcW w:w="531" w:type="dxa"/>
          </w:tcPr>
          <w:p w14:paraId="1E60DBBD" w14:textId="785600F6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highlight w:val="yellow"/>
                <w:cs/>
              </w:rPr>
              <w:t>.....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4DAA8C5" w14:textId="59975E2F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50</w:t>
            </w:r>
          </w:p>
        </w:tc>
        <w:tc>
          <w:tcPr>
            <w:tcW w:w="599" w:type="dxa"/>
            <w:shd w:val="clear" w:color="auto" w:fill="D9D9D9" w:themeFill="background1" w:themeFillShade="D9"/>
          </w:tcPr>
          <w:p w14:paraId="53894F81" w14:textId="23C7B369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55BBDBB5" w14:textId="413E9F6D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80</w:t>
            </w:r>
          </w:p>
        </w:tc>
        <w:tc>
          <w:tcPr>
            <w:tcW w:w="525" w:type="dxa"/>
            <w:shd w:val="clear" w:color="auto" w:fill="D9D9D9" w:themeFill="background1" w:themeFillShade="D9"/>
          </w:tcPr>
          <w:p w14:paraId="22E89269" w14:textId="5E487AFD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681" w:type="dxa"/>
            <w:shd w:val="clear" w:color="auto" w:fill="D9D9D9" w:themeFill="background1" w:themeFillShade="D9"/>
          </w:tcPr>
          <w:p w14:paraId="4F458FF3" w14:textId="190CA44E" w:rsidR="00155BE3" w:rsidRPr="00F62698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100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14:paraId="3AB033E5" w14:textId="71BCEA10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2816" w:type="dxa"/>
          </w:tcPr>
          <w:p w14:paraId="14C3B122" w14:textId="77777777" w:rsidR="00155BE3" w:rsidRPr="008F6400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326F3022" w14:textId="77777777" w:rsidR="00155BE3" w:rsidRPr="008F6400" w:rsidRDefault="00155BE3" w:rsidP="00155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09" w:type="dxa"/>
          </w:tcPr>
          <w:p w14:paraId="6E964677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14:paraId="161A3353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62FC6CE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14:paraId="71EA8388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14:paraId="4CC4E92C" w14:textId="77777777" w:rsidR="00155BE3" w:rsidRPr="008F6400" w:rsidRDefault="00155BE3" w:rsidP="00155B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155BE3" w:rsidRPr="008F6400" w14:paraId="067134A3" w14:textId="77777777" w:rsidTr="00155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53C495C0" w14:textId="6C52D62E" w:rsidR="00155BE3" w:rsidRPr="008F6400" w:rsidRDefault="00155BE3" w:rsidP="00155BE3">
            <w:pPr>
              <w:jc w:val="center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41306073" w14:textId="77777777" w:rsidR="00155BE3" w:rsidRPr="00B62DF2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B62DF2">
              <w:rPr>
                <w:rFonts w:ascii="TH SarabunPSK" w:hAnsi="TH SarabunPSK" w:cs="TH SarabunPSK"/>
                <w:sz w:val="28"/>
                <w:cs/>
              </w:rPr>
              <w:t xml:space="preserve">ร้อยละการเพิ่มขึ้นของระดับ </w:t>
            </w:r>
            <w:r w:rsidRPr="00B62DF2">
              <w:rPr>
                <w:rFonts w:ascii="TH SarabunPSK" w:hAnsi="TH SarabunPSK" w:cs="TH SarabunPSK"/>
                <w:sz w:val="28"/>
              </w:rPr>
              <w:t xml:space="preserve">CEFR </w:t>
            </w:r>
            <w:r w:rsidRPr="00B62DF2">
              <w:rPr>
                <w:rFonts w:ascii="TH SarabunPSK" w:hAnsi="TH SarabunPSK" w:cs="TH SarabunPSK"/>
                <w:sz w:val="28"/>
                <w:cs/>
              </w:rPr>
              <w:t>ของนักศึกษาระดับปริญญาตรีในแต่ละรุ่น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B62DF2">
              <w:rPr>
                <w:rFonts w:ascii="TH SarabunPSK" w:hAnsi="TH SarabunPSK" w:cs="TH SarabunPSK"/>
                <w:sz w:val="28"/>
                <w:cs/>
              </w:rPr>
              <w:t>ปีการศึกษาของการสอบแรกเข้าเทียบกับการสอบครั้งที่ 2</w:t>
            </w:r>
          </w:p>
          <w:p w14:paraId="3C890C3F" w14:textId="77F0EEA5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B62DF2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ฝ่ายวิชาการและประกันคุณภาพ / ศูนย์บริการนักศึกษา</w:t>
            </w:r>
            <w:r w:rsidRPr="00F62698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3" w:type="dxa"/>
          </w:tcPr>
          <w:p w14:paraId="70A7AE11" w14:textId="2EA8942C" w:rsidR="00155BE3" w:rsidRPr="008F6400" w:rsidRDefault="00155BE3" w:rsidP="00155BE3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ร้อยละ</w:t>
            </w:r>
          </w:p>
        </w:tc>
        <w:tc>
          <w:tcPr>
            <w:tcW w:w="566" w:type="dxa"/>
          </w:tcPr>
          <w:p w14:paraId="6BCDB291" w14:textId="577A7322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5</w:t>
            </w:r>
          </w:p>
        </w:tc>
        <w:tc>
          <w:tcPr>
            <w:tcW w:w="531" w:type="dxa"/>
          </w:tcPr>
          <w:p w14:paraId="4D485033" w14:textId="0064BDE3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highlight w:val="yellow"/>
                <w:cs/>
              </w:rPr>
              <w:t>.....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A39812D" w14:textId="1B7C14A9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10</w:t>
            </w:r>
          </w:p>
        </w:tc>
        <w:tc>
          <w:tcPr>
            <w:tcW w:w="599" w:type="dxa"/>
            <w:shd w:val="clear" w:color="auto" w:fill="D9D9D9" w:themeFill="background1" w:themeFillShade="D9"/>
          </w:tcPr>
          <w:p w14:paraId="3B1D9495" w14:textId="375A26F6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78D9EDEB" w14:textId="3A5AF3FB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25" w:type="dxa"/>
            <w:shd w:val="clear" w:color="auto" w:fill="D9D9D9" w:themeFill="background1" w:themeFillShade="D9"/>
          </w:tcPr>
          <w:p w14:paraId="5B894FBF" w14:textId="3F6C4BE0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681" w:type="dxa"/>
            <w:shd w:val="clear" w:color="auto" w:fill="D9D9D9" w:themeFill="background1" w:themeFillShade="D9"/>
          </w:tcPr>
          <w:p w14:paraId="3DC54A7F" w14:textId="138D2DE8" w:rsidR="00155BE3" w:rsidRPr="00F62698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15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14:paraId="54C7CA7E" w14:textId="2D689C8E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F62698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</w:t>
            </w:r>
          </w:p>
        </w:tc>
        <w:tc>
          <w:tcPr>
            <w:tcW w:w="2816" w:type="dxa"/>
          </w:tcPr>
          <w:p w14:paraId="4D8C8235" w14:textId="77777777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75D0FAA6" w14:textId="226C1C19" w:rsidR="00155BE3" w:rsidRPr="008F6400" w:rsidRDefault="00155BE3" w:rsidP="00155B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09" w:type="dxa"/>
          </w:tcPr>
          <w:p w14:paraId="6D2CA11F" w14:textId="1FC0412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84" w:type="dxa"/>
            <w:tcBorders>
              <w:top w:val="nil"/>
              <w:bottom w:val="single" w:sz="4" w:space="0" w:color="auto"/>
            </w:tcBorders>
          </w:tcPr>
          <w:p w14:paraId="642E14FA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14:paraId="56E79841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14:paraId="0DC8E2DD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14:paraId="6EB3E551" w14:textId="77777777" w:rsidR="00155BE3" w:rsidRPr="008F6400" w:rsidRDefault="00155BE3" w:rsidP="00155B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</w:tbl>
    <w:p w14:paraId="60F12522" w14:textId="77777777" w:rsidR="00155BE3" w:rsidRDefault="00155BE3" w:rsidP="00155BE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E2A6C8F" w14:textId="77777777" w:rsidR="00155BE3" w:rsidRDefault="00155BE3" w:rsidP="00155BE3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5C93704E" w14:textId="77777777" w:rsidR="00155BE3" w:rsidRPr="00704EE0" w:rsidRDefault="00155BE3" w:rsidP="00155BE3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 (ยกเว้นการกำหนดเป้าหมายเป็น</w:t>
      </w:r>
      <w:r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1F484FAF" w14:textId="77777777" w:rsidR="00155BE3" w:rsidRPr="00E14610" w:rsidRDefault="00155BE3" w:rsidP="00155BE3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45F1ABAE" w14:textId="77777777" w:rsidR="00E14610" w:rsidRPr="00155BE3" w:rsidRDefault="00E14610" w:rsidP="00155BE3">
      <w:pPr>
        <w:rPr>
          <w:szCs w:val="22"/>
          <w:cs/>
        </w:rPr>
      </w:pPr>
    </w:p>
    <w:sectPr w:rsidR="00E14610" w:rsidRPr="00155BE3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848C7"/>
    <w:rsid w:val="00155BE3"/>
    <w:rsid w:val="003131CF"/>
    <w:rsid w:val="003306A3"/>
    <w:rsid w:val="00421C3F"/>
    <w:rsid w:val="004222C3"/>
    <w:rsid w:val="00704EE0"/>
    <w:rsid w:val="007E5C4E"/>
    <w:rsid w:val="008564EF"/>
    <w:rsid w:val="008F6400"/>
    <w:rsid w:val="00A760FF"/>
    <w:rsid w:val="00A96270"/>
    <w:rsid w:val="00B01BC8"/>
    <w:rsid w:val="00B530D0"/>
    <w:rsid w:val="00B7028D"/>
    <w:rsid w:val="00C30B4B"/>
    <w:rsid w:val="00D01DEB"/>
    <w:rsid w:val="00E14610"/>
    <w:rsid w:val="00E2425B"/>
    <w:rsid w:val="00E41066"/>
    <w:rsid w:val="00E62C70"/>
    <w:rsid w:val="00E96A6F"/>
    <w:rsid w:val="00EC4DEF"/>
    <w:rsid w:val="00F6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441</Words>
  <Characters>2020</Characters>
  <Application>Microsoft Office Word</Application>
  <DocSecurity>0</DocSecurity>
  <Lines>183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4</cp:revision>
  <dcterms:created xsi:type="dcterms:W3CDTF">2024-12-11T07:53:00Z</dcterms:created>
  <dcterms:modified xsi:type="dcterms:W3CDTF">2025-12-17T03:10:00Z</dcterms:modified>
</cp:coreProperties>
</file>